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FE810">
      <w:pPr>
        <w:spacing w:line="540" w:lineRule="exact"/>
        <w:ind w:left="44" w:leftChars="-95" w:hanging="243" w:hangingChars="55"/>
        <w:jc w:val="center"/>
        <w:rPr>
          <w:rFonts w:ascii="黑体" w:hAnsi="黑体" w:eastAsia="黑体" w:cs="黑体"/>
          <w:b/>
          <w:bCs/>
          <w:sz w:val="44"/>
          <w:szCs w:val="44"/>
        </w:rPr>
      </w:pPr>
      <w:bookmarkStart w:id="0" w:name="_Toc139857398"/>
      <w:r>
        <w:rPr>
          <w:rFonts w:hint="eastAsia" w:ascii="黑体" w:hAnsi="黑体" w:eastAsia="黑体" w:cs="黑体"/>
          <w:b/>
          <w:bCs/>
          <w:sz w:val="44"/>
          <w:szCs w:val="44"/>
        </w:rPr>
        <w:t>《基础乐理》考试大纲</w:t>
      </w:r>
    </w:p>
    <w:p w14:paraId="44916E04">
      <w:pPr>
        <w:spacing w:line="400" w:lineRule="exact"/>
        <w:rPr>
          <w:b/>
          <w:bCs/>
          <w:sz w:val="28"/>
          <w:szCs w:val="28"/>
        </w:rPr>
      </w:pPr>
    </w:p>
    <w:p w14:paraId="16568069">
      <w:pPr>
        <w:spacing w:line="360" w:lineRule="auto"/>
        <w:rPr>
          <w:sz w:val="24"/>
        </w:rPr>
      </w:pPr>
      <w:r>
        <w:rPr>
          <w:rFonts w:hint="eastAsia" w:ascii="黑体" w:hAnsi="黑体" w:eastAsia="黑体" w:cs="黑体"/>
          <w:b/>
          <w:bCs/>
          <w:sz w:val="28"/>
          <w:szCs w:val="28"/>
        </w:rPr>
        <w:t>一、课程编号</w:t>
      </w:r>
      <w:r>
        <w:rPr>
          <w:rFonts w:hint="eastAsia"/>
          <w:b/>
          <w:bCs/>
          <w:sz w:val="28"/>
          <w:szCs w:val="28"/>
        </w:rPr>
        <w:t xml:space="preserve"> </w:t>
      </w:r>
      <w:r>
        <w:rPr>
          <w:rFonts w:hint="eastAsia"/>
          <w:sz w:val="24"/>
        </w:rPr>
        <w:t xml:space="preserve">   </w:t>
      </w:r>
    </w:p>
    <w:p w14:paraId="29E89A7C">
      <w:pPr>
        <w:spacing w:line="360" w:lineRule="auto"/>
        <w:rPr>
          <w:sz w:val="24"/>
        </w:rPr>
      </w:pPr>
      <w:r>
        <w:rPr>
          <w:rFonts w:hint="eastAsia" w:ascii="黑体" w:hAnsi="黑体" w:eastAsia="黑体" w:cs="黑体"/>
          <w:b/>
          <w:bCs/>
          <w:sz w:val="28"/>
          <w:szCs w:val="28"/>
        </w:rPr>
        <w:t>二、课程性质：</w:t>
      </w:r>
      <w:r>
        <w:rPr>
          <w:rFonts w:hint="eastAsia"/>
          <w:sz w:val="24"/>
        </w:rPr>
        <w:t>音乐学专业</w:t>
      </w:r>
      <w:r>
        <w:rPr>
          <w:rFonts w:hint="eastAsia" w:cs="宋体"/>
          <w:sz w:val="24"/>
        </w:rPr>
        <w:t>“专升本”</w:t>
      </w:r>
      <w:r>
        <w:rPr>
          <w:rFonts w:hint="eastAsia"/>
          <w:sz w:val="24"/>
        </w:rPr>
        <w:t>课程。</w:t>
      </w:r>
    </w:p>
    <w:p w14:paraId="272A17C0">
      <w:pPr>
        <w:spacing w:line="360" w:lineRule="auto"/>
        <w:rPr>
          <w:rFonts w:ascii="黑体" w:hAnsi="黑体" w:eastAsia="黑体" w:cs="黑体"/>
          <w:b/>
          <w:bCs/>
          <w:sz w:val="28"/>
          <w:szCs w:val="28"/>
        </w:rPr>
      </w:pPr>
      <w:r>
        <w:rPr>
          <w:rFonts w:hint="eastAsia" w:ascii="黑体" w:hAnsi="黑体" w:eastAsia="黑体" w:cs="黑体"/>
          <w:b/>
          <w:bCs/>
          <w:sz w:val="28"/>
          <w:szCs w:val="28"/>
        </w:rPr>
        <w:t xml:space="preserve">三、编写说明  </w:t>
      </w:r>
    </w:p>
    <w:p w14:paraId="49BB1A6B">
      <w:pPr>
        <w:pStyle w:val="4"/>
        <w:spacing w:line="360" w:lineRule="auto"/>
        <w:ind w:firstLine="480" w:firstLineChars="200"/>
        <w:rPr>
          <w:rFonts w:ascii="宋体" w:hAnsi="宋体"/>
        </w:rPr>
      </w:pPr>
      <w:r>
        <w:rPr>
          <w:rFonts w:hint="eastAsia" w:ascii="宋体" w:hAnsi="宋体"/>
        </w:rPr>
        <w:t>1.本考核大纲根据《基础乐理》教学大纲的要求编写。</w:t>
      </w:r>
    </w:p>
    <w:p w14:paraId="0EFE2284">
      <w:pPr>
        <w:pStyle w:val="4"/>
        <w:spacing w:line="360" w:lineRule="auto"/>
        <w:ind w:firstLine="480" w:firstLineChars="200"/>
        <w:rPr>
          <w:rFonts w:ascii="Times New Roman" w:hAnsi="Times New Roman" w:cs="Times New Roman"/>
        </w:rPr>
      </w:pPr>
      <w:r>
        <w:rPr>
          <w:rFonts w:hint="eastAsia" w:ascii="Times New Roman" w:hAnsi="Times New Roman" w:cs="Times New Roman"/>
        </w:rPr>
        <w:t>2</w:t>
      </w:r>
      <w:r>
        <w:rPr>
          <w:rFonts w:hint="eastAsia" w:ascii="宋体" w:hAnsi="宋体"/>
        </w:rPr>
        <w:t>.</w:t>
      </w:r>
      <w:r>
        <w:rPr>
          <w:rFonts w:hint="eastAsia" w:ascii="Times New Roman" w:hAnsi="Times New Roman" w:cs="Times New Roman"/>
        </w:rPr>
        <w:t>本考核大纲适用于吉首大学张家界学院音乐学专业</w:t>
      </w:r>
      <w:r>
        <w:rPr>
          <w:rFonts w:hint="eastAsia" w:ascii="宋体" w:hAnsi="宋体" w:cs="宋体"/>
        </w:rPr>
        <w:t>“专升本”</w:t>
      </w:r>
      <w:r>
        <w:rPr>
          <w:rFonts w:hint="eastAsia" w:ascii="Times New Roman" w:hAnsi="Times New Roman" w:cs="Times New Roman"/>
        </w:rPr>
        <w:t>考试。</w:t>
      </w:r>
    </w:p>
    <w:p w14:paraId="29458342">
      <w:pPr>
        <w:spacing w:line="360" w:lineRule="auto"/>
        <w:rPr>
          <w:rFonts w:ascii="黑体" w:hAnsi="黑体" w:eastAsia="黑体" w:cs="黑体"/>
          <w:b/>
          <w:bCs/>
          <w:sz w:val="28"/>
          <w:szCs w:val="28"/>
        </w:rPr>
      </w:pPr>
      <w:r>
        <w:rPr>
          <w:rFonts w:hint="eastAsia" w:ascii="黑体" w:hAnsi="黑体" w:eastAsia="黑体" w:cs="黑体"/>
          <w:b/>
          <w:bCs/>
          <w:sz w:val="28"/>
          <w:szCs w:val="28"/>
        </w:rPr>
        <w:t>四、课程考核要求与知识点</w:t>
      </w:r>
    </w:p>
    <w:bookmarkEnd w:id="0"/>
    <w:p w14:paraId="6006BD60">
      <w:pPr>
        <w:spacing w:line="360" w:lineRule="auto"/>
        <w:jc w:val="center"/>
        <w:rPr>
          <w:rFonts w:ascii="黑体" w:hAnsi="黑体" w:eastAsia="黑体" w:cs="宋体"/>
          <w:b/>
          <w:sz w:val="28"/>
          <w:szCs w:val="28"/>
        </w:rPr>
      </w:pPr>
      <w:r>
        <w:rPr>
          <w:rFonts w:hint="eastAsia" w:ascii="黑体" w:hAnsi="黑体" w:eastAsia="黑体" w:cs="宋体"/>
          <w:b/>
          <w:sz w:val="28"/>
          <w:szCs w:val="28"/>
          <w:shd w:val="clear" w:color="auto" w:fill="FFFFFF"/>
        </w:rPr>
        <w:t xml:space="preserve">第一单元  </w:t>
      </w:r>
      <w:r>
        <w:rPr>
          <w:rFonts w:hint="eastAsia" w:ascii="黑体" w:hAnsi="黑体" w:eastAsia="黑体" w:cs="黑体"/>
          <w:b/>
          <w:bCs/>
          <w:kern w:val="0"/>
          <w:sz w:val="28"/>
          <w:szCs w:val="28"/>
          <w:lang w:bidi="ar"/>
        </w:rPr>
        <w:t xml:space="preserve">音与记谱法 </w:t>
      </w:r>
    </w:p>
    <w:p w14:paraId="63E7D546">
      <w:pPr>
        <w:spacing w:line="360" w:lineRule="auto"/>
        <w:jc w:val="left"/>
        <w:rPr>
          <w:rFonts w:cs="宋体"/>
          <w:color w:val="auto"/>
          <w:spacing w:val="8"/>
          <w:kern w:val="0"/>
          <w:sz w:val="24"/>
          <w:szCs w:val="24"/>
        </w:rPr>
      </w:pPr>
      <w:r>
        <w:rPr>
          <w:rFonts w:hint="eastAsia" w:cs="宋体"/>
          <w:b/>
          <w:sz w:val="24"/>
          <w:szCs w:val="24"/>
        </w:rPr>
        <w:t xml:space="preserve">    1.</w:t>
      </w:r>
      <w:r>
        <w:rPr>
          <w:rFonts w:hint="eastAsia" w:cs="宋体"/>
          <w:b/>
          <w:color w:val="auto"/>
          <w:sz w:val="24"/>
          <w:szCs w:val="24"/>
        </w:rPr>
        <w:t>识记：</w:t>
      </w:r>
      <w:r>
        <w:rPr>
          <w:rFonts w:hint="eastAsia" w:cs="宋体"/>
          <w:bCs/>
          <w:color w:val="auto"/>
          <w:sz w:val="24"/>
          <w:szCs w:val="24"/>
        </w:rPr>
        <w:t>（1）</w:t>
      </w:r>
      <w:r>
        <w:rPr>
          <w:rFonts w:hint="eastAsia" w:cs="宋体"/>
          <w:kern w:val="0"/>
          <w:sz w:val="24"/>
          <w:szCs w:val="24"/>
          <w:lang w:bidi="ar"/>
        </w:rPr>
        <w:t xml:space="preserve">音的高低 </w:t>
      </w:r>
      <w:r>
        <w:rPr>
          <w:rFonts w:hint="eastAsia" w:cs="宋体"/>
          <w:bCs/>
          <w:color w:val="auto"/>
          <w:sz w:val="24"/>
          <w:szCs w:val="24"/>
        </w:rPr>
        <w:t>；（2）</w:t>
      </w:r>
      <w:r>
        <w:rPr>
          <w:rFonts w:hint="eastAsia" w:cs="宋体"/>
          <w:kern w:val="0"/>
          <w:sz w:val="24"/>
          <w:szCs w:val="24"/>
          <w:lang w:bidi="ar"/>
        </w:rPr>
        <w:t>音的长短</w:t>
      </w:r>
      <w:r>
        <w:rPr>
          <w:rFonts w:hint="eastAsia" w:cs="宋体"/>
          <w:bCs/>
          <w:color w:val="auto"/>
          <w:sz w:val="24"/>
          <w:szCs w:val="24"/>
        </w:rPr>
        <w:t>；（3）</w:t>
      </w:r>
      <w:r>
        <w:rPr>
          <w:rFonts w:hint="eastAsia" w:cs="宋体"/>
          <w:kern w:val="0"/>
          <w:sz w:val="24"/>
          <w:szCs w:val="24"/>
          <w:lang w:bidi="ar"/>
        </w:rPr>
        <w:t>节奏、节拍与音值组合法</w:t>
      </w:r>
      <w:r>
        <w:rPr>
          <w:rFonts w:hint="eastAsia" w:cs="宋体"/>
          <w:bCs/>
          <w:color w:val="auto"/>
          <w:sz w:val="24"/>
          <w:szCs w:val="24"/>
        </w:rPr>
        <w:t>；（4）</w:t>
      </w:r>
      <w:r>
        <w:rPr>
          <w:rFonts w:hint="eastAsia" w:cs="宋体"/>
          <w:kern w:val="0"/>
          <w:sz w:val="24"/>
          <w:szCs w:val="24"/>
          <w:lang w:bidi="ar"/>
        </w:rPr>
        <w:t>装饰音、演奏法记号、省略记号与音乐术语</w:t>
      </w:r>
      <w:r>
        <w:rPr>
          <w:rFonts w:hint="eastAsia" w:cs="宋体"/>
          <w:bCs/>
          <w:color w:val="auto"/>
          <w:sz w:val="24"/>
          <w:szCs w:val="24"/>
        </w:rPr>
        <w:t>。</w:t>
      </w:r>
    </w:p>
    <w:p w14:paraId="35C607C5">
      <w:pPr>
        <w:widowControl/>
        <w:spacing w:line="360" w:lineRule="auto"/>
        <w:ind w:firstLine="482" w:firstLineChars="200"/>
        <w:jc w:val="left"/>
        <w:rPr>
          <w:rFonts w:cs="宋体"/>
          <w:color w:val="auto"/>
          <w:sz w:val="24"/>
          <w:szCs w:val="24"/>
        </w:rPr>
      </w:pPr>
      <w:r>
        <w:rPr>
          <w:rFonts w:hint="eastAsia" w:cs="宋体"/>
          <w:b/>
          <w:color w:val="auto"/>
          <w:sz w:val="24"/>
          <w:szCs w:val="24"/>
        </w:rPr>
        <w:t>2.理解：</w:t>
      </w:r>
      <w:r>
        <w:rPr>
          <w:rFonts w:hint="eastAsia" w:cs="宋体"/>
          <w:bCs/>
          <w:color w:val="auto"/>
          <w:sz w:val="24"/>
          <w:szCs w:val="24"/>
        </w:rPr>
        <w:t>（1）</w:t>
      </w:r>
      <w:r>
        <w:rPr>
          <w:rFonts w:hint="eastAsia" w:cs="宋体"/>
          <w:kern w:val="0"/>
          <w:sz w:val="24"/>
          <w:szCs w:val="24"/>
          <w:lang w:bidi="ar"/>
        </w:rPr>
        <w:t>理解乐音体系、音列、音级、半音、全音（变化、自然）、变音（变化、自然）与等音的相关概念，并能灵活应用</w:t>
      </w:r>
      <w:r>
        <w:rPr>
          <w:rFonts w:hint="eastAsia" w:cs="宋体"/>
          <w:bCs/>
          <w:color w:val="auto"/>
          <w:sz w:val="24"/>
          <w:szCs w:val="24"/>
        </w:rPr>
        <w:t>；（2）</w:t>
      </w:r>
      <w:r>
        <w:rPr>
          <w:rFonts w:hint="eastAsia" w:cs="宋体"/>
          <w:kern w:val="0"/>
          <w:sz w:val="24"/>
          <w:szCs w:val="24"/>
          <w:lang w:bidi="ar"/>
        </w:rPr>
        <w:t>掌握基本音符与附点音符的特殊划分并能实际应用，了解自由延长记号与连音线的作用；</w:t>
      </w:r>
      <w:r>
        <w:rPr>
          <w:rFonts w:hint="eastAsia" w:cs="宋体"/>
          <w:bCs/>
          <w:color w:val="auto"/>
          <w:sz w:val="24"/>
          <w:szCs w:val="24"/>
        </w:rPr>
        <w:t>（3）</w:t>
      </w:r>
      <w:r>
        <w:rPr>
          <w:rFonts w:hint="eastAsia" w:cs="宋体"/>
          <w:kern w:val="0"/>
          <w:sz w:val="24"/>
          <w:szCs w:val="24"/>
          <w:lang w:bidi="ar"/>
        </w:rPr>
        <w:t>理解节奏、节拍、拍、拍子、小节线、单拍子、复拍子、混合拍子等基本概念；（4）理解音值组合法的意义并掌握常见的单拍子、复拍子与混合拍子的正确的音值组合法；（5）掌握倚音、波音、颤音与回音等装饰音记号的用法；熟知断音、连音、保持音、滑音与琶音等演奏法记号；熟知移动八度或重复八度记号、段落反复记号与音或音型反复记号等省略记号；熟知常用的力度标记与速度标记。</w:t>
      </w:r>
    </w:p>
    <w:p w14:paraId="1FC73DAE">
      <w:pPr>
        <w:widowControl/>
        <w:spacing w:line="360" w:lineRule="auto"/>
        <w:ind w:firstLine="482" w:firstLineChars="200"/>
        <w:jc w:val="left"/>
        <w:rPr>
          <w:rFonts w:cs="宋体"/>
          <w:bCs/>
          <w:color w:val="auto"/>
          <w:sz w:val="24"/>
          <w:szCs w:val="24"/>
        </w:rPr>
      </w:pPr>
      <w:r>
        <w:rPr>
          <w:rFonts w:hint="eastAsia" w:cs="宋体"/>
          <w:b/>
          <w:color w:val="auto"/>
          <w:sz w:val="24"/>
          <w:szCs w:val="24"/>
        </w:rPr>
        <w:t>3.运用：</w:t>
      </w:r>
      <w:r>
        <w:rPr>
          <w:rFonts w:hint="eastAsia" w:cs="宋体"/>
          <w:bCs/>
          <w:color w:val="auto"/>
          <w:sz w:val="24"/>
          <w:szCs w:val="24"/>
        </w:rPr>
        <w:t>（1）</w:t>
      </w:r>
      <w:r>
        <w:rPr>
          <w:rFonts w:hint="eastAsia" w:cs="宋体"/>
          <w:kern w:val="0"/>
          <w:sz w:val="24"/>
          <w:szCs w:val="24"/>
          <w:lang w:bidi="ar"/>
        </w:rPr>
        <w:t>掌握音的分组的概念，能在指定的谱表中写出指定音的音名与组别或根据指定的音名与组别找到它们在谱表中的位置及在此基础上的综合运用；（2）能识别四种常用的谱表：高音谱表、低音谱表、中音谱表与次中音谱表，并能综合运用</w:t>
      </w:r>
      <w:r>
        <w:rPr>
          <w:rFonts w:hint="eastAsia" w:cs="宋体"/>
          <w:bCs/>
          <w:color w:val="auto"/>
          <w:sz w:val="24"/>
          <w:szCs w:val="24"/>
        </w:rPr>
        <w:t>。</w:t>
      </w:r>
    </w:p>
    <w:p w14:paraId="3C99860A">
      <w:pPr>
        <w:widowControl/>
        <w:spacing w:line="360" w:lineRule="auto"/>
        <w:jc w:val="left"/>
        <w:rPr>
          <w:rFonts w:cs="宋体"/>
          <w:sz w:val="24"/>
          <w:szCs w:val="24"/>
        </w:rPr>
      </w:pPr>
      <w:r>
        <w:rPr>
          <w:rFonts w:hint="eastAsia" w:cs="宋体"/>
          <w:kern w:val="0"/>
          <w:sz w:val="24"/>
          <w:szCs w:val="24"/>
          <w:lang w:bidi="ar"/>
        </w:rPr>
        <w:t xml:space="preserve"> </w:t>
      </w:r>
    </w:p>
    <w:p w14:paraId="35FB46BD">
      <w:pPr>
        <w:widowControl/>
        <w:spacing w:line="360" w:lineRule="auto"/>
        <w:jc w:val="center"/>
        <w:rPr>
          <w:rFonts w:cs="宋体"/>
          <w:sz w:val="24"/>
          <w:szCs w:val="24"/>
        </w:rPr>
      </w:pPr>
      <w:r>
        <w:rPr>
          <w:rFonts w:hint="eastAsia" w:ascii="黑体" w:hAnsi="黑体" w:eastAsia="黑体" w:cs="黑体"/>
          <w:b/>
          <w:bCs/>
          <w:kern w:val="0"/>
          <w:sz w:val="28"/>
          <w:szCs w:val="28"/>
          <w:lang w:bidi="ar"/>
        </w:rPr>
        <w:t>第二单元  音程与和弦</w:t>
      </w:r>
    </w:p>
    <w:p w14:paraId="08662270">
      <w:pPr>
        <w:widowControl/>
        <w:spacing w:line="360" w:lineRule="auto"/>
        <w:jc w:val="left"/>
        <w:rPr>
          <w:rFonts w:cs="宋体"/>
          <w:sz w:val="24"/>
          <w:szCs w:val="24"/>
        </w:rPr>
      </w:pPr>
      <w:r>
        <w:rPr>
          <w:rFonts w:hint="eastAsia" w:cs="宋体"/>
          <w:b/>
          <w:sz w:val="24"/>
          <w:szCs w:val="24"/>
        </w:rPr>
        <w:t xml:space="preserve">   1.</w:t>
      </w:r>
      <w:r>
        <w:rPr>
          <w:rFonts w:hint="eastAsia" w:cs="宋体"/>
          <w:b/>
          <w:color w:val="auto"/>
          <w:sz w:val="24"/>
          <w:szCs w:val="24"/>
        </w:rPr>
        <w:t>识记：</w:t>
      </w:r>
      <w:r>
        <w:rPr>
          <w:rFonts w:hint="eastAsia" w:cs="宋体"/>
          <w:bCs/>
          <w:color w:val="auto"/>
          <w:sz w:val="24"/>
          <w:szCs w:val="24"/>
        </w:rPr>
        <w:t>（1）</w:t>
      </w:r>
      <w:r>
        <w:rPr>
          <w:rFonts w:hint="eastAsia" w:cs="宋体"/>
          <w:kern w:val="0"/>
          <w:sz w:val="24"/>
          <w:szCs w:val="24"/>
          <w:lang w:bidi="ar"/>
        </w:rPr>
        <w:t xml:space="preserve">音程 </w:t>
      </w:r>
      <w:r>
        <w:rPr>
          <w:rFonts w:hint="eastAsia" w:cs="宋体"/>
          <w:bCs/>
          <w:color w:val="auto"/>
          <w:sz w:val="24"/>
          <w:szCs w:val="24"/>
        </w:rPr>
        <w:t>；（2）</w:t>
      </w:r>
      <w:r>
        <w:rPr>
          <w:rFonts w:hint="eastAsia" w:cs="宋体"/>
          <w:kern w:val="0"/>
          <w:sz w:val="24"/>
          <w:szCs w:val="24"/>
          <w:lang w:bidi="ar"/>
        </w:rPr>
        <w:t>和弦</w:t>
      </w:r>
      <w:r>
        <w:rPr>
          <w:rFonts w:hint="eastAsia" w:cs="宋体"/>
          <w:bCs/>
          <w:color w:val="auto"/>
          <w:sz w:val="24"/>
          <w:szCs w:val="24"/>
        </w:rPr>
        <w:t>。</w:t>
      </w:r>
    </w:p>
    <w:p w14:paraId="7BD703EC">
      <w:pPr>
        <w:widowControl/>
        <w:spacing w:line="360" w:lineRule="auto"/>
        <w:ind w:firstLine="482" w:firstLineChars="200"/>
        <w:jc w:val="left"/>
        <w:rPr>
          <w:rFonts w:cs="宋体"/>
          <w:sz w:val="24"/>
          <w:szCs w:val="24"/>
        </w:rPr>
      </w:pPr>
      <w:r>
        <w:rPr>
          <w:rFonts w:hint="eastAsia" w:cs="宋体"/>
          <w:b/>
          <w:color w:val="auto"/>
          <w:sz w:val="24"/>
          <w:szCs w:val="24"/>
        </w:rPr>
        <w:t>2.理解：</w:t>
      </w:r>
      <w:r>
        <w:rPr>
          <w:rFonts w:hint="eastAsia" w:cs="宋体"/>
          <w:bCs/>
          <w:color w:val="auto"/>
          <w:sz w:val="24"/>
          <w:szCs w:val="24"/>
        </w:rPr>
        <w:t>（1）</w:t>
      </w:r>
      <w:r>
        <w:rPr>
          <w:rFonts w:hint="eastAsia" w:cs="宋体"/>
          <w:kern w:val="0"/>
          <w:sz w:val="24"/>
          <w:szCs w:val="24"/>
          <w:lang w:bidi="ar"/>
        </w:rPr>
        <w:t xml:space="preserve">理解并能区分自然音程、变化音程、协和音程与不协和音程； </w:t>
      </w:r>
    </w:p>
    <w:p w14:paraId="467FE786">
      <w:pPr>
        <w:widowControl/>
        <w:spacing w:line="360" w:lineRule="auto"/>
        <w:jc w:val="left"/>
        <w:rPr>
          <w:rFonts w:cs="宋体"/>
          <w:sz w:val="24"/>
          <w:szCs w:val="24"/>
        </w:rPr>
      </w:pPr>
      <w:r>
        <w:rPr>
          <w:rFonts w:hint="eastAsia" w:cs="宋体"/>
          <w:bCs/>
          <w:color w:val="auto"/>
          <w:sz w:val="24"/>
          <w:szCs w:val="24"/>
        </w:rPr>
        <w:t>（2）</w:t>
      </w:r>
      <w:r>
        <w:rPr>
          <w:rFonts w:hint="eastAsia" w:cs="宋体"/>
          <w:kern w:val="0"/>
          <w:sz w:val="24"/>
          <w:szCs w:val="24"/>
          <w:lang w:bidi="ar"/>
        </w:rPr>
        <w:t xml:space="preserve">掌握音程扩大与缩小的正确方法并能应用，能识别和构成单音程与复音程； </w:t>
      </w:r>
    </w:p>
    <w:p w14:paraId="66847C42">
      <w:pPr>
        <w:widowControl/>
        <w:spacing w:line="360" w:lineRule="auto"/>
        <w:jc w:val="left"/>
        <w:rPr>
          <w:rFonts w:cs="宋体"/>
          <w:color w:val="auto"/>
          <w:sz w:val="24"/>
          <w:szCs w:val="24"/>
        </w:rPr>
      </w:pPr>
      <w:r>
        <w:rPr>
          <w:rFonts w:hint="eastAsia" w:cs="宋体"/>
          <w:bCs/>
          <w:color w:val="auto"/>
          <w:sz w:val="24"/>
          <w:szCs w:val="24"/>
        </w:rPr>
        <w:t>（3）</w:t>
      </w:r>
      <w:r>
        <w:rPr>
          <w:rFonts w:hint="eastAsia" w:cs="宋体"/>
          <w:kern w:val="0"/>
          <w:sz w:val="24"/>
          <w:szCs w:val="24"/>
          <w:lang w:bidi="ar"/>
        </w:rPr>
        <w:t>掌握音程转位的方法并熟知转位前后音程性质的改变；理解等音程的概念并能识别与构写。</w:t>
      </w:r>
    </w:p>
    <w:p w14:paraId="51BAF305">
      <w:pPr>
        <w:widowControl/>
        <w:spacing w:line="360" w:lineRule="auto"/>
        <w:ind w:firstLine="482" w:firstLineChars="200"/>
        <w:jc w:val="left"/>
        <w:rPr>
          <w:rFonts w:cs="宋体"/>
          <w:sz w:val="24"/>
          <w:szCs w:val="24"/>
        </w:rPr>
      </w:pPr>
      <w:r>
        <w:rPr>
          <w:rFonts w:hint="eastAsia" w:cs="宋体"/>
          <w:b/>
          <w:color w:val="auto"/>
          <w:sz w:val="24"/>
          <w:szCs w:val="24"/>
        </w:rPr>
        <w:t>3.运用：</w:t>
      </w:r>
      <w:r>
        <w:rPr>
          <w:rFonts w:hint="eastAsia" w:cs="宋体"/>
          <w:bCs/>
          <w:color w:val="auto"/>
          <w:sz w:val="24"/>
          <w:szCs w:val="24"/>
        </w:rPr>
        <w:t>（1）</w:t>
      </w:r>
      <w:r>
        <w:rPr>
          <w:rFonts w:hint="eastAsia" w:cs="宋体"/>
          <w:kern w:val="0"/>
          <w:sz w:val="24"/>
          <w:szCs w:val="24"/>
          <w:lang w:bidi="ar"/>
        </w:rPr>
        <w:t xml:space="preserve">掌握原位与转位三和弦的识别与构写；能在指定的谱表中写出指定音的音名与组别或根据指定的音名与组别找到它们在谱表中的位置及在此基础上的综合运用；（2）掌握原位与转位七和弦的识别与构写；（3）理解等和弦的概念并能识别与构写掌握音的分组的概念，并能综合运用。 </w:t>
      </w:r>
      <w:r>
        <w:rPr>
          <w:rFonts w:hint="eastAsia" w:cs="宋体"/>
          <w:b/>
          <w:bCs/>
          <w:kern w:val="0"/>
          <w:sz w:val="24"/>
          <w:szCs w:val="24"/>
          <w:lang w:bidi="ar"/>
        </w:rPr>
        <w:t xml:space="preserve"> </w:t>
      </w:r>
    </w:p>
    <w:p w14:paraId="3696B6F4">
      <w:pPr>
        <w:widowControl/>
        <w:spacing w:line="360" w:lineRule="auto"/>
        <w:jc w:val="left"/>
        <w:rPr>
          <w:rFonts w:cs="宋体"/>
          <w:sz w:val="24"/>
          <w:szCs w:val="24"/>
        </w:rPr>
      </w:pPr>
      <w:r>
        <w:rPr>
          <w:rFonts w:hint="eastAsia" w:cs="宋体"/>
          <w:b/>
          <w:bCs/>
          <w:kern w:val="0"/>
          <w:sz w:val="24"/>
          <w:szCs w:val="24"/>
          <w:lang w:bidi="ar"/>
        </w:rPr>
        <w:t xml:space="preserve"> </w:t>
      </w:r>
    </w:p>
    <w:p w14:paraId="2648127F">
      <w:pPr>
        <w:widowControl/>
        <w:spacing w:line="360" w:lineRule="auto"/>
        <w:jc w:val="center"/>
        <w:rPr>
          <w:rFonts w:ascii="黑体" w:hAnsi="黑体" w:eastAsia="黑体" w:cs="黑体"/>
          <w:b/>
          <w:bCs/>
          <w:sz w:val="28"/>
          <w:szCs w:val="28"/>
        </w:rPr>
      </w:pPr>
      <w:r>
        <w:rPr>
          <w:rFonts w:hint="eastAsia" w:ascii="黑体" w:hAnsi="黑体" w:eastAsia="黑体" w:cs="黑体"/>
          <w:b/>
          <w:bCs/>
          <w:kern w:val="0"/>
          <w:sz w:val="28"/>
          <w:szCs w:val="28"/>
          <w:lang w:bidi="ar"/>
        </w:rPr>
        <w:t>第三单元  调式调性</w:t>
      </w:r>
    </w:p>
    <w:p w14:paraId="558781C8">
      <w:pPr>
        <w:spacing w:line="360" w:lineRule="auto"/>
        <w:ind w:firstLine="482" w:firstLineChars="200"/>
        <w:jc w:val="left"/>
        <w:rPr>
          <w:rFonts w:cs="宋体"/>
          <w:color w:val="auto"/>
          <w:spacing w:val="8"/>
          <w:kern w:val="0"/>
          <w:sz w:val="24"/>
          <w:szCs w:val="24"/>
        </w:rPr>
      </w:pPr>
      <w:r>
        <w:rPr>
          <w:rFonts w:hint="eastAsia" w:cs="宋体"/>
          <w:b/>
          <w:sz w:val="24"/>
          <w:szCs w:val="24"/>
        </w:rPr>
        <w:t>1.</w:t>
      </w:r>
      <w:r>
        <w:rPr>
          <w:rFonts w:hint="eastAsia" w:cs="宋体"/>
          <w:b/>
          <w:color w:val="auto"/>
          <w:sz w:val="24"/>
          <w:szCs w:val="24"/>
        </w:rPr>
        <w:t>识记：</w:t>
      </w:r>
      <w:r>
        <w:rPr>
          <w:rFonts w:hint="eastAsia" w:cs="宋体"/>
          <w:bCs/>
          <w:color w:val="auto"/>
          <w:sz w:val="24"/>
          <w:szCs w:val="24"/>
        </w:rPr>
        <w:t>（1）</w:t>
      </w:r>
      <w:r>
        <w:rPr>
          <w:rFonts w:hint="eastAsia" w:cs="宋体"/>
          <w:kern w:val="0"/>
          <w:sz w:val="24"/>
          <w:szCs w:val="24"/>
          <w:lang w:bidi="ar"/>
        </w:rPr>
        <w:t xml:space="preserve">调式调性基础 </w:t>
      </w:r>
      <w:r>
        <w:rPr>
          <w:rFonts w:hint="eastAsia" w:cs="宋体"/>
          <w:bCs/>
          <w:color w:val="auto"/>
          <w:sz w:val="24"/>
          <w:szCs w:val="24"/>
        </w:rPr>
        <w:t>；（2）</w:t>
      </w:r>
      <w:r>
        <w:rPr>
          <w:rFonts w:hint="eastAsia" w:cs="宋体"/>
          <w:kern w:val="0"/>
          <w:sz w:val="24"/>
          <w:szCs w:val="24"/>
          <w:lang w:bidi="ar"/>
        </w:rPr>
        <w:t>调的关系</w:t>
      </w:r>
      <w:r>
        <w:rPr>
          <w:rFonts w:hint="eastAsia" w:cs="宋体"/>
          <w:bCs/>
          <w:color w:val="auto"/>
          <w:sz w:val="24"/>
          <w:szCs w:val="24"/>
        </w:rPr>
        <w:t>；（3）</w:t>
      </w:r>
      <w:r>
        <w:rPr>
          <w:rFonts w:hint="eastAsia" w:cs="宋体"/>
          <w:kern w:val="0"/>
          <w:sz w:val="24"/>
          <w:szCs w:val="24"/>
          <w:lang w:bidi="ar"/>
        </w:rPr>
        <w:t>调式调性分析</w:t>
      </w:r>
      <w:r>
        <w:rPr>
          <w:rFonts w:hint="eastAsia" w:cs="宋体"/>
          <w:bCs/>
          <w:color w:val="auto"/>
          <w:sz w:val="24"/>
          <w:szCs w:val="24"/>
        </w:rPr>
        <w:t>；（4）</w:t>
      </w:r>
      <w:r>
        <w:rPr>
          <w:rFonts w:hint="eastAsia" w:cs="宋体"/>
          <w:kern w:val="0"/>
          <w:sz w:val="24"/>
          <w:szCs w:val="24"/>
          <w:lang w:bidi="ar"/>
        </w:rPr>
        <w:t>译谱与移调</w:t>
      </w:r>
      <w:r>
        <w:rPr>
          <w:rFonts w:hint="eastAsia" w:cs="宋体"/>
          <w:bCs/>
          <w:color w:val="auto"/>
          <w:sz w:val="24"/>
          <w:szCs w:val="24"/>
        </w:rPr>
        <w:t>。</w:t>
      </w:r>
    </w:p>
    <w:p w14:paraId="292E1DB1">
      <w:pPr>
        <w:widowControl/>
        <w:spacing w:line="360" w:lineRule="auto"/>
        <w:ind w:firstLine="482" w:firstLineChars="200"/>
        <w:jc w:val="left"/>
        <w:rPr>
          <w:rFonts w:cs="宋体"/>
          <w:color w:val="auto"/>
          <w:sz w:val="24"/>
          <w:szCs w:val="24"/>
        </w:rPr>
      </w:pPr>
      <w:r>
        <w:rPr>
          <w:rFonts w:hint="eastAsia" w:cs="宋体"/>
          <w:b/>
          <w:color w:val="auto"/>
          <w:sz w:val="24"/>
          <w:szCs w:val="24"/>
        </w:rPr>
        <w:t>2.理解：</w:t>
      </w:r>
      <w:r>
        <w:rPr>
          <w:rFonts w:hint="eastAsia" w:cs="宋体"/>
          <w:bCs/>
          <w:color w:val="auto"/>
          <w:sz w:val="24"/>
          <w:szCs w:val="24"/>
        </w:rPr>
        <w:t>（1）</w:t>
      </w:r>
      <w:r>
        <w:rPr>
          <w:rFonts w:hint="eastAsia" w:cs="宋体"/>
          <w:kern w:val="0"/>
          <w:sz w:val="24"/>
          <w:szCs w:val="24"/>
          <w:lang w:bidi="ar"/>
        </w:rPr>
        <w:t>理解调式、调式音阶、调式音级与调性等概念；熟知大、小调音阶音级的标记、名称及分类（正音级与副音级，稳定音级与不稳定音级）；掌握大、小调式的概念，音阶结构，调式色彩及音级倾向关系；（2）掌握民族调式音阶的音级标记（以主音为第 1 级或以宫音为第 1 级）与阶名（正音：宫、商、角、徵、羽；偏音：清角、变徽、闰、变宫）；（3）掌握五声调式的概念、音阶结构及特点；掌握七声调式的概念、音阶结构（清乐音阶：加清角和变宫；雅乐音阶：加变徵和变宫；燕乐音阶：加清角和闰）及特点；掌握大、小调式与民族调式记写调号的方法； （4）理解关系大小调的概念，能熟练地判断大调的关系小调或小调的关系大调；理解同宫系统调的概念，能熟练地找出调式的同宫系统各调；（5）了解移调的概念及移调方式。</w:t>
      </w:r>
    </w:p>
    <w:p w14:paraId="294F7A59">
      <w:pPr>
        <w:widowControl/>
        <w:spacing w:line="360" w:lineRule="auto"/>
        <w:ind w:firstLine="482" w:firstLineChars="200"/>
        <w:jc w:val="left"/>
        <w:rPr>
          <w:rFonts w:cs="宋体"/>
          <w:sz w:val="24"/>
          <w:szCs w:val="24"/>
        </w:rPr>
      </w:pPr>
      <w:r>
        <w:rPr>
          <w:rFonts w:hint="eastAsia" w:cs="宋体"/>
          <w:b/>
          <w:color w:val="auto"/>
          <w:sz w:val="24"/>
          <w:szCs w:val="24"/>
        </w:rPr>
        <w:t>3.运用：</w:t>
      </w:r>
      <w:r>
        <w:rPr>
          <w:rFonts w:hint="eastAsia" w:cs="宋体"/>
          <w:bCs/>
          <w:color w:val="auto"/>
          <w:sz w:val="24"/>
          <w:szCs w:val="24"/>
        </w:rPr>
        <w:t>（1）</w:t>
      </w:r>
      <w:r>
        <w:rPr>
          <w:rFonts w:hint="eastAsia" w:cs="宋体"/>
          <w:kern w:val="0"/>
          <w:sz w:val="24"/>
          <w:szCs w:val="24"/>
          <w:lang w:bidi="ar"/>
        </w:rPr>
        <w:t xml:space="preserve">能运用调号或临时变音记号构成大小调式与民族调式音阶的方法；（2）理解同主音大小调式与同主音民族调式的概念，能熟练地找出调式的同主音关 </w:t>
      </w:r>
    </w:p>
    <w:p w14:paraId="29613C5E">
      <w:pPr>
        <w:widowControl/>
        <w:spacing w:line="360" w:lineRule="auto"/>
        <w:jc w:val="left"/>
        <w:rPr>
          <w:rFonts w:hint="eastAsia"/>
          <w:bCs/>
          <w:color w:val="auto"/>
          <w:sz w:val="24"/>
          <w:szCs w:val="24"/>
        </w:rPr>
      </w:pPr>
      <w:r>
        <w:rPr>
          <w:rFonts w:hint="eastAsia" w:cs="宋体"/>
          <w:kern w:val="0"/>
          <w:sz w:val="24"/>
          <w:szCs w:val="24"/>
          <w:lang w:bidi="ar"/>
        </w:rPr>
        <w:t>系调；（3）能在大小调式与民族调式的范围之内，分析调式音阶所属的调性；能在自然、和声大小调与五声调式的范围之内，分析音组（或旋律片段）所属的调性；能分析大小调式的旋律（可含有调式特性变音之外的其他装饰性变音），能熟练地分析它们所属的调式调性；（4） 能熟练地将简谱译成五线谱或将五线谱译成简谱。</w:t>
      </w:r>
    </w:p>
    <w:p w14:paraId="1318F2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eastAsia="黑体" w:cs="Times New Roman"/>
          <w:b/>
          <w:kern w:val="0"/>
          <w:sz w:val="28"/>
          <w:szCs w:val="28"/>
        </w:rPr>
      </w:pPr>
      <w:r>
        <w:rPr>
          <w:rFonts w:hint="eastAsia" w:ascii="Times New Roman" w:hAnsi="黑体" w:eastAsia="黑体" w:cs="Times New Roman"/>
          <w:b/>
          <w:kern w:val="0"/>
          <w:sz w:val="28"/>
          <w:szCs w:val="28"/>
        </w:rPr>
        <w:t>五、课程考核实施要求</w:t>
      </w:r>
    </w:p>
    <w:p w14:paraId="7D05D3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Times New Roman" w:hAnsi="Times New Roman" w:eastAsia="黑体" w:cs="Times New Roman"/>
          <w:kern w:val="0"/>
          <w:sz w:val="24"/>
          <w:szCs w:val="20"/>
        </w:rPr>
      </w:pPr>
      <w:r>
        <w:rPr>
          <w:rFonts w:hint="eastAsia" w:ascii="Times New Roman" w:hAnsi="Times New Roman" w:eastAsia="黑体" w:cs="Times New Roman"/>
          <w:kern w:val="0"/>
          <w:sz w:val="24"/>
          <w:szCs w:val="20"/>
        </w:rPr>
        <w:t>1.考核方式</w:t>
      </w:r>
    </w:p>
    <w:p w14:paraId="2E3DB8FA">
      <w:pPr>
        <w:spacing w:line="360" w:lineRule="auto"/>
        <w:ind w:firstLine="240" w:firstLineChars="10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闭卷考试。</w:t>
      </w:r>
      <w:r>
        <w:rPr>
          <w:rFonts w:hint="eastAsia" w:ascii="Times New Roman" w:hAnsi="Times New Roman" w:eastAsia="宋体" w:cs="Times New Roman"/>
          <w:bCs/>
          <w:sz w:val="24"/>
          <w:szCs w:val="24"/>
        </w:rPr>
        <w:t>考试时间为</w:t>
      </w:r>
      <w:r>
        <w:rPr>
          <w:rFonts w:hint="eastAsia" w:ascii="Times New Roman" w:hAnsi="Times New Roman" w:cs="Times New Roman"/>
          <w:bCs/>
          <w:sz w:val="24"/>
          <w:szCs w:val="24"/>
          <w:lang w:val="en-US" w:eastAsia="zh-CN"/>
        </w:rPr>
        <w:t>90</w:t>
      </w:r>
      <w:r>
        <w:rPr>
          <w:rFonts w:hint="eastAsia" w:ascii="Times New Roman" w:hAnsi="Times New Roman" w:eastAsia="宋体" w:cs="Times New Roman"/>
          <w:bCs/>
          <w:sz w:val="24"/>
          <w:szCs w:val="24"/>
        </w:rPr>
        <w:t>分钟，满分为</w:t>
      </w:r>
      <w:r>
        <w:rPr>
          <w:rFonts w:hint="eastAsia" w:ascii="Times New Roman" w:hAnsi="Times New Roman" w:cs="Times New Roman"/>
          <w:bCs/>
          <w:sz w:val="24"/>
          <w:szCs w:val="24"/>
          <w:lang w:val="en-US" w:eastAsia="zh-CN"/>
        </w:rPr>
        <w:t>1</w:t>
      </w:r>
      <w:r>
        <w:rPr>
          <w:rFonts w:hint="eastAsia" w:ascii="Times New Roman" w:hAnsi="Times New Roman" w:eastAsia="宋体" w:cs="Times New Roman"/>
          <w:bCs/>
          <w:sz w:val="24"/>
          <w:szCs w:val="24"/>
        </w:rPr>
        <w:t>00分。</w:t>
      </w:r>
    </w:p>
    <w:p w14:paraId="48B881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Times New Roman" w:hAnsi="Times New Roman" w:eastAsia="黑体" w:cs="Times New Roman"/>
          <w:kern w:val="0"/>
          <w:sz w:val="24"/>
          <w:szCs w:val="20"/>
        </w:rPr>
      </w:pPr>
      <w:r>
        <w:rPr>
          <w:rFonts w:hint="eastAsia" w:ascii="Times New Roman" w:hAnsi="Times New Roman" w:eastAsia="黑体" w:cs="Times New Roman"/>
          <w:kern w:val="0"/>
          <w:sz w:val="24"/>
          <w:szCs w:val="20"/>
        </w:rPr>
        <w:t>2.考试命题</w:t>
      </w:r>
    </w:p>
    <w:p w14:paraId="785022CB">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w:t>
      </w:r>
      <w:r>
        <w:rPr>
          <w:rFonts w:hint="eastAsia" w:ascii="Times New Roman" w:hAnsi="Times New Roman" w:eastAsia="宋体" w:cs="Times New Roman"/>
          <w:sz w:val="24"/>
          <w:szCs w:val="24"/>
        </w:rPr>
        <w:t>）本大纲命题内容涵盖了教材的主要内容。</w:t>
      </w:r>
    </w:p>
    <w:p w14:paraId="7DE3A390">
      <w:pPr>
        <w:spacing w:line="360" w:lineRule="auto"/>
        <w:ind w:firstLine="48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2</w:t>
      </w:r>
      <w:r>
        <w:rPr>
          <w:rFonts w:hint="eastAsia" w:ascii="Times New Roman" w:hAnsi="Times New Roman" w:eastAsia="宋体" w:cs="Times New Roman"/>
          <w:sz w:val="24"/>
          <w:szCs w:val="24"/>
        </w:rPr>
        <w:t>）不同能力层次试题的比例为：</w:t>
      </w:r>
      <w:bookmarkStart w:id="1" w:name="_GoBack"/>
      <w:bookmarkEnd w:id="1"/>
      <w:r>
        <w:rPr>
          <w:rFonts w:hint="eastAsia" w:ascii="Times New Roman" w:hAnsi="Times New Roman" w:eastAsia="宋体" w:cs="Times New Roman"/>
          <w:sz w:val="24"/>
          <w:szCs w:val="24"/>
        </w:rPr>
        <w:t>基础理论 60%，综合应用 40%。试题有适度的灵活性、综合性。</w:t>
      </w:r>
    </w:p>
    <w:p w14:paraId="4992726B">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3</w:t>
      </w:r>
      <w:r>
        <w:rPr>
          <w:rFonts w:hint="eastAsia" w:ascii="Times New Roman" w:hAnsi="Times New Roman" w:eastAsia="宋体" w:cs="Times New Roman"/>
          <w:sz w:val="24"/>
          <w:szCs w:val="24"/>
        </w:rPr>
        <w:t>）不同难易度试题的比例为：较易占30</w:t>
      </w:r>
      <w:r>
        <w:rPr>
          <w:rFonts w:ascii="Times New Roman" w:hAnsi="Times New Roman" w:eastAsia="宋体" w:cs="Times New Roman"/>
          <w:sz w:val="24"/>
          <w:szCs w:val="24"/>
        </w:rPr>
        <w:t>%</w:t>
      </w:r>
      <w:r>
        <w:rPr>
          <w:rFonts w:hint="eastAsia" w:ascii="Times New Roman" w:hAnsi="Times New Roman" w:eastAsia="宋体" w:cs="Times New Roman"/>
          <w:sz w:val="24"/>
          <w:szCs w:val="24"/>
        </w:rPr>
        <w:t>，中等占55</w:t>
      </w:r>
      <w:r>
        <w:rPr>
          <w:rFonts w:ascii="Times New Roman" w:hAnsi="Times New Roman" w:eastAsia="宋体" w:cs="Times New Roman"/>
          <w:sz w:val="24"/>
          <w:szCs w:val="24"/>
        </w:rPr>
        <w:t>%</w:t>
      </w:r>
      <w:r>
        <w:rPr>
          <w:rFonts w:hint="eastAsia" w:ascii="Times New Roman" w:hAnsi="Times New Roman" w:eastAsia="宋体" w:cs="Times New Roman"/>
          <w:sz w:val="24"/>
          <w:szCs w:val="24"/>
        </w:rPr>
        <w:t>，较难占15</w:t>
      </w:r>
      <w:r>
        <w:rPr>
          <w:rFonts w:ascii="Times New Roman" w:hAnsi="Times New Roman" w:eastAsia="宋体" w:cs="Times New Roman"/>
          <w:sz w:val="24"/>
          <w:szCs w:val="24"/>
        </w:rPr>
        <w:t>%</w:t>
      </w:r>
      <w:r>
        <w:rPr>
          <w:rFonts w:hint="eastAsia" w:ascii="Times New Roman" w:hAnsi="Times New Roman" w:eastAsia="宋体" w:cs="Times New Roman"/>
          <w:sz w:val="24"/>
          <w:szCs w:val="24"/>
        </w:rPr>
        <w:t>。</w:t>
      </w:r>
    </w:p>
    <w:p w14:paraId="01245C55">
      <w:pPr>
        <w:spacing w:line="360" w:lineRule="auto"/>
        <w:ind w:firstLine="48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4</w:t>
      </w:r>
      <w:r>
        <w:rPr>
          <w:rFonts w:hint="eastAsia" w:ascii="Times New Roman" w:hAnsi="Times New Roman" w:eastAsia="宋体" w:cs="Times New Roman"/>
          <w:sz w:val="24"/>
          <w:szCs w:val="24"/>
        </w:rPr>
        <w:t>）试题类型有选择题、填空题、判断题、</w:t>
      </w:r>
      <w:r>
        <w:rPr>
          <w:rFonts w:hint="eastAsia" w:ascii="Times New Roman" w:hAnsi="Times New Roman" w:cs="Times New Roman"/>
          <w:sz w:val="24"/>
          <w:szCs w:val="24"/>
          <w:lang w:val="en-US" w:eastAsia="zh-CN"/>
        </w:rPr>
        <w:t>综合应用</w:t>
      </w:r>
      <w:r>
        <w:rPr>
          <w:rFonts w:hint="eastAsia" w:ascii="Times New Roman" w:hAnsi="Times New Roman" w:eastAsia="宋体" w:cs="Times New Roman"/>
          <w:sz w:val="24"/>
          <w:szCs w:val="24"/>
        </w:rPr>
        <w:t>等</w:t>
      </w:r>
      <w:r>
        <w:rPr>
          <w:rFonts w:hint="eastAsia" w:ascii="Times New Roman" w:hAnsi="Times New Roman" w:cs="Times New Roman"/>
          <w:sz w:val="24"/>
          <w:szCs w:val="24"/>
          <w:lang w:val="en-US" w:eastAsia="zh-CN"/>
        </w:rPr>
        <w:t>四</w:t>
      </w:r>
      <w:r>
        <w:rPr>
          <w:rFonts w:hint="eastAsia" w:ascii="Times New Roman" w:hAnsi="Times New Roman" w:eastAsia="宋体" w:cs="Times New Roman"/>
          <w:sz w:val="24"/>
          <w:szCs w:val="24"/>
        </w:rPr>
        <w:t>种形式，其分值分布如下表：</w:t>
      </w:r>
    </w:p>
    <w:tbl>
      <w:tblPr>
        <w:tblStyle w:val="5"/>
        <w:tblpPr w:leftFromText="180" w:rightFromText="180" w:vertAnchor="text" w:horzAnchor="page" w:tblpX="2332" w:tblpY="75"/>
        <w:tblOverlap w:val="never"/>
        <w:tblW w:w="7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1220"/>
        <w:gridCol w:w="2909"/>
        <w:gridCol w:w="2509"/>
      </w:tblGrid>
      <w:tr w14:paraId="7589A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220" w:type="dxa"/>
            <w:vMerge w:val="restart"/>
            <w:vAlign w:val="center"/>
          </w:tcPr>
          <w:p w14:paraId="02AD263A">
            <w:pPr>
              <w:spacing w:line="300" w:lineRule="auto"/>
              <w:jc w:val="center"/>
              <w:rPr>
                <w:rFonts w:hint="eastAsia" w:ascii="Times New Roman" w:hAnsi="Times New Roman" w:eastAsia="宋体" w:cs="Times New Roman"/>
                <w:b/>
                <w:sz w:val="28"/>
                <w:szCs w:val="28"/>
              </w:rPr>
            </w:pPr>
            <w:r>
              <w:rPr>
                <w:rFonts w:hint="eastAsia" w:ascii="Times New Roman" w:hAnsi="Times New Roman" w:eastAsia="宋体" w:cs="Times New Roman"/>
                <w:b/>
                <w:sz w:val="28"/>
                <w:szCs w:val="28"/>
              </w:rPr>
              <w:t>试</w:t>
            </w:r>
          </w:p>
          <w:p w14:paraId="1731E6B1">
            <w:pPr>
              <w:spacing w:line="300" w:lineRule="auto"/>
              <w:jc w:val="center"/>
              <w:rPr>
                <w:rFonts w:hint="eastAsia" w:ascii="Times New Roman" w:hAnsi="Times New Roman" w:eastAsia="宋体" w:cs="Times New Roman"/>
                <w:b/>
                <w:sz w:val="28"/>
                <w:szCs w:val="28"/>
              </w:rPr>
            </w:pPr>
            <w:r>
              <w:rPr>
                <w:rFonts w:hint="eastAsia" w:ascii="Times New Roman" w:hAnsi="Times New Roman" w:eastAsia="宋体" w:cs="Times New Roman"/>
                <w:b/>
                <w:sz w:val="28"/>
                <w:szCs w:val="28"/>
              </w:rPr>
              <w:t>题</w:t>
            </w:r>
          </w:p>
          <w:p w14:paraId="607B7928">
            <w:pPr>
              <w:spacing w:line="300" w:lineRule="auto"/>
              <w:jc w:val="center"/>
              <w:rPr>
                <w:rFonts w:hint="eastAsia" w:ascii="Times New Roman" w:hAnsi="Times New Roman" w:eastAsia="宋体" w:cs="Times New Roman"/>
                <w:sz w:val="24"/>
                <w:szCs w:val="28"/>
              </w:rPr>
            </w:pPr>
          </w:p>
        </w:tc>
        <w:tc>
          <w:tcPr>
            <w:tcW w:w="1220" w:type="dxa"/>
            <w:vAlign w:val="center"/>
          </w:tcPr>
          <w:p w14:paraId="27AB3A48">
            <w:pPr>
              <w:spacing w:line="300" w:lineRule="auto"/>
              <w:jc w:val="center"/>
              <w:rPr>
                <w:rFonts w:hint="eastAsia" w:ascii="Times New Roman" w:hAnsi="Times New Roman" w:eastAsia="宋体" w:cs="Times New Roman"/>
                <w:sz w:val="24"/>
                <w:szCs w:val="28"/>
              </w:rPr>
            </w:pPr>
            <w:r>
              <w:rPr>
                <w:rFonts w:hint="eastAsia" w:ascii="Times New Roman" w:hAnsi="Times New Roman" w:eastAsia="宋体" w:cs="Times New Roman"/>
                <w:sz w:val="24"/>
                <w:szCs w:val="28"/>
              </w:rPr>
              <w:t>题号</w:t>
            </w:r>
          </w:p>
        </w:tc>
        <w:tc>
          <w:tcPr>
            <w:tcW w:w="2909" w:type="dxa"/>
            <w:vAlign w:val="center"/>
          </w:tcPr>
          <w:p w14:paraId="57C37325">
            <w:pPr>
              <w:spacing w:line="300" w:lineRule="auto"/>
              <w:jc w:val="center"/>
              <w:rPr>
                <w:rFonts w:hint="eastAsia" w:ascii="黑体" w:hAnsi="宋体" w:eastAsia="宋体" w:cs="Times New Roman"/>
                <w:sz w:val="24"/>
                <w:szCs w:val="28"/>
              </w:rPr>
            </w:pPr>
            <w:r>
              <w:rPr>
                <w:rFonts w:hint="eastAsia" w:ascii="黑体" w:hAnsi="宋体" w:eastAsia="宋体" w:cs="Times New Roman"/>
                <w:sz w:val="24"/>
                <w:szCs w:val="28"/>
              </w:rPr>
              <w:t>题型</w:t>
            </w:r>
          </w:p>
        </w:tc>
        <w:tc>
          <w:tcPr>
            <w:tcW w:w="2509" w:type="dxa"/>
            <w:vAlign w:val="center"/>
          </w:tcPr>
          <w:p w14:paraId="454C9AEB">
            <w:pPr>
              <w:spacing w:line="300" w:lineRule="auto"/>
              <w:jc w:val="center"/>
              <w:rPr>
                <w:rFonts w:hint="eastAsia" w:ascii="黑体" w:hAnsi="宋体" w:eastAsia="宋体" w:cs="Times New Roman"/>
                <w:sz w:val="24"/>
                <w:szCs w:val="24"/>
              </w:rPr>
            </w:pPr>
            <w:r>
              <w:rPr>
                <w:rFonts w:hint="eastAsia" w:ascii="黑体" w:hAnsi="宋体" w:eastAsia="宋体" w:cs="Times New Roman"/>
                <w:sz w:val="24"/>
                <w:szCs w:val="24"/>
              </w:rPr>
              <w:t>分值</w:t>
            </w:r>
          </w:p>
        </w:tc>
      </w:tr>
      <w:tr w14:paraId="783F3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20" w:type="dxa"/>
            <w:vMerge w:val="continue"/>
            <w:vAlign w:val="center"/>
          </w:tcPr>
          <w:p w14:paraId="53746F3B">
            <w:pPr>
              <w:spacing w:line="300" w:lineRule="auto"/>
              <w:jc w:val="center"/>
              <w:rPr>
                <w:rFonts w:hint="eastAsia" w:ascii="黑体" w:hAnsi="宋体" w:eastAsia="宋体" w:cs="Times New Roman"/>
                <w:sz w:val="24"/>
                <w:szCs w:val="28"/>
              </w:rPr>
            </w:pPr>
          </w:p>
        </w:tc>
        <w:tc>
          <w:tcPr>
            <w:tcW w:w="1220" w:type="dxa"/>
            <w:vAlign w:val="center"/>
          </w:tcPr>
          <w:p w14:paraId="3D8CABB9">
            <w:pPr>
              <w:spacing w:line="300" w:lineRule="auto"/>
              <w:jc w:val="center"/>
              <w:rPr>
                <w:rFonts w:hint="eastAsia" w:ascii="黑体" w:hAnsi="宋体" w:eastAsia="宋体" w:cs="Times New Roman"/>
                <w:sz w:val="24"/>
                <w:szCs w:val="28"/>
              </w:rPr>
            </w:pPr>
            <w:r>
              <w:rPr>
                <w:rFonts w:hint="eastAsia" w:ascii="黑体" w:hAnsi="宋体" w:eastAsia="宋体" w:cs="Times New Roman"/>
                <w:sz w:val="24"/>
                <w:szCs w:val="28"/>
              </w:rPr>
              <w:t>一</w:t>
            </w:r>
          </w:p>
        </w:tc>
        <w:tc>
          <w:tcPr>
            <w:tcW w:w="2909" w:type="dxa"/>
            <w:vAlign w:val="center"/>
          </w:tcPr>
          <w:p w14:paraId="6A8D6CD3">
            <w:pPr>
              <w:spacing w:line="300" w:lineRule="auto"/>
              <w:jc w:val="center"/>
              <w:rPr>
                <w:rFonts w:hint="eastAsia" w:ascii="黑体" w:hAnsi="宋体" w:eastAsia="宋体" w:cs="Times New Roman"/>
                <w:sz w:val="24"/>
                <w:szCs w:val="28"/>
              </w:rPr>
            </w:pPr>
            <w:r>
              <w:rPr>
                <w:rFonts w:hint="eastAsia" w:ascii="黑体" w:hAnsi="宋体" w:eastAsia="宋体" w:cs="Times New Roman"/>
                <w:sz w:val="24"/>
                <w:szCs w:val="28"/>
              </w:rPr>
              <w:t>选择题</w:t>
            </w:r>
          </w:p>
        </w:tc>
        <w:tc>
          <w:tcPr>
            <w:tcW w:w="2509" w:type="dxa"/>
            <w:vAlign w:val="center"/>
          </w:tcPr>
          <w:p w14:paraId="1922D339">
            <w:pPr>
              <w:spacing w:line="300" w:lineRule="auto"/>
              <w:jc w:val="center"/>
              <w:rPr>
                <w:rFonts w:hint="default" w:ascii="黑体" w:hAnsi="宋体" w:eastAsia="宋体" w:cs="Times New Roman"/>
                <w:sz w:val="24"/>
                <w:szCs w:val="28"/>
                <w:lang w:val="en-US" w:eastAsia="zh-CN"/>
              </w:rPr>
            </w:pPr>
            <w:r>
              <w:rPr>
                <w:rFonts w:hint="eastAsia" w:ascii="黑体" w:cs="Times New Roman"/>
                <w:sz w:val="24"/>
                <w:szCs w:val="28"/>
                <w:lang w:val="en-US" w:eastAsia="zh-CN"/>
              </w:rPr>
              <w:t>30</w:t>
            </w:r>
          </w:p>
        </w:tc>
      </w:tr>
      <w:tr w14:paraId="1D307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220" w:type="dxa"/>
            <w:vMerge w:val="continue"/>
            <w:vAlign w:val="center"/>
          </w:tcPr>
          <w:p w14:paraId="78D45828">
            <w:pPr>
              <w:spacing w:line="300" w:lineRule="auto"/>
              <w:jc w:val="center"/>
              <w:rPr>
                <w:rFonts w:hint="eastAsia" w:ascii="黑体" w:hAnsi="宋体" w:eastAsia="宋体" w:cs="Times New Roman"/>
                <w:sz w:val="24"/>
                <w:szCs w:val="28"/>
              </w:rPr>
            </w:pPr>
          </w:p>
        </w:tc>
        <w:tc>
          <w:tcPr>
            <w:tcW w:w="1220" w:type="dxa"/>
            <w:vAlign w:val="center"/>
          </w:tcPr>
          <w:p w14:paraId="4017E4CB">
            <w:pPr>
              <w:spacing w:line="300" w:lineRule="auto"/>
              <w:jc w:val="center"/>
              <w:rPr>
                <w:rFonts w:hint="eastAsia" w:ascii="黑体" w:hAnsi="宋体" w:eastAsia="宋体" w:cs="Times New Roman"/>
                <w:sz w:val="24"/>
                <w:szCs w:val="28"/>
              </w:rPr>
            </w:pPr>
            <w:r>
              <w:rPr>
                <w:rFonts w:hint="eastAsia" w:ascii="黑体" w:hAnsi="宋体" w:eastAsia="宋体" w:cs="Times New Roman"/>
                <w:sz w:val="24"/>
                <w:szCs w:val="28"/>
              </w:rPr>
              <w:t>二</w:t>
            </w:r>
          </w:p>
        </w:tc>
        <w:tc>
          <w:tcPr>
            <w:tcW w:w="2909" w:type="dxa"/>
            <w:vAlign w:val="center"/>
          </w:tcPr>
          <w:p w14:paraId="1A843FED">
            <w:pPr>
              <w:spacing w:line="300" w:lineRule="auto"/>
              <w:jc w:val="center"/>
              <w:rPr>
                <w:rFonts w:hint="eastAsia" w:ascii="黑体" w:hAnsi="宋体" w:eastAsia="宋体" w:cs="Times New Roman"/>
                <w:sz w:val="24"/>
                <w:szCs w:val="28"/>
              </w:rPr>
            </w:pPr>
            <w:r>
              <w:rPr>
                <w:rFonts w:hint="eastAsia" w:ascii="宋体" w:hAnsi="宋体" w:eastAsia="宋体" w:cs="Times New Roman"/>
                <w:sz w:val="24"/>
                <w:szCs w:val="24"/>
              </w:rPr>
              <w:t>填空题</w:t>
            </w:r>
          </w:p>
        </w:tc>
        <w:tc>
          <w:tcPr>
            <w:tcW w:w="2509" w:type="dxa"/>
            <w:vAlign w:val="center"/>
          </w:tcPr>
          <w:p w14:paraId="43A140CF">
            <w:pPr>
              <w:spacing w:line="300" w:lineRule="auto"/>
              <w:jc w:val="center"/>
              <w:rPr>
                <w:rFonts w:hint="default" w:ascii="黑体" w:hAnsi="宋体" w:eastAsia="宋体" w:cs="Times New Roman"/>
                <w:sz w:val="24"/>
                <w:szCs w:val="28"/>
                <w:lang w:val="en-US" w:eastAsia="zh-CN"/>
              </w:rPr>
            </w:pPr>
            <w:r>
              <w:rPr>
                <w:rFonts w:hint="eastAsia" w:ascii="黑体" w:cs="Times New Roman"/>
                <w:sz w:val="24"/>
                <w:szCs w:val="28"/>
                <w:lang w:val="en-US" w:eastAsia="zh-CN"/>
              </w:rPr>
              <w:t>20</w:t>
            </w:r>
          </w:p>
        </w:tc>
      </w:tr>
      <w:tr w14:paraId="1124F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20" w:type="dxa"/>
            <w:vMerge w:val="continue"/>
            <w:vAlign w:val="center"/>
          </w:tcPr>
          <w:p w14:paraId="4B36FBAE">
            <w:pPr>
              <w:spacing w:line="300" w:lineRule="auto"/>
              <w:jc w:val="center"/>
              <w:rPr>
                <w:rFonts w:hint="eastAsia" w:ascii="黑体" w:hAnsi="宋体" w:eastAsia="宋体" w:cs="Times New Roman"/>
                <w:sz w:val="24"/>
                <w:szCs w:val="28"/>
              </w:rPr>
            </w:pPr>
          </w:p>
        </w:tc>
        <w:tc>
          <w:tcPr>
            <w:tcW w:w="1220" w:type="dxa"/>
            <w:vAlign w:val="center"/>
          </w:tcPr>
          <w:p w14:paraId="035D6E44">
            <w:pPr>
              <w:spacing w:line="300" w:lineRule="auto"/>
              <w:jc w:val="center"/>
              <w:rPr>
                <w:rFonts w:hint="eastAsia" w:ascii="黑体" w:hAnsi="宋体" w:eastAsia="宋体" w:cs="Times New Roman"/>
                <w:sz w:val="24"/>
                <w:szCs w:val="28"/>
              </w:rPr>
            </w:pPr>
            <w:r>
              <w:rPr>
                <w:rFonts w:hint="eastAsia" w:ascii="黑体" w:hAnsi="宋体" w:eastAsia="宋体" w:cs="Times New Roman"/>
                <w:sz w:val="24"/>
                <w:szCs w:val="28"/>
              </w:rPr>
              <w:t>三</w:t>
            </w:r>
          </w:p>
        </w:tc>
        <w:tc>
          <w:tcPr>
            <w:tcW w:w="2909" w:type="dxa"/>
            <w:vAlign w:val="center"/>
          </w:tcPr>
          <w:p w14:paraId="7FC2ED43">
            <w:pPr>
              <w:spacing w:line="300" w:lineRule="auto"/>
              <w:jc w:val="center"/>
              <w:rPr>
                <w:rFonts w:hint="eastAsia" w:ascii="宋体" w:hAnsi="宋体" w:eastAsia="宋体" w:cs="Times New Roman"/>
                <w:snapToGrid w:val="0"/>
                <w:kern w:val="0"/>
                <w:sz w:val="24"/>
                <w:szCs w:val="24"/>
              </w:rPr>
            </w:pPr>
            <w:r>
              <w:rPr>
                <w:rFonts w:hint="eastAsia" w:ascii="宋体" w:hAnsi="宋体" w:eastAsia="宋体" w:cs="Times New Roman"/>
                <w:snapToGrid w:val="0"/>
                <w:kern w:val="0"/>
                <w:sz w:val="24"/>
                <w:szCs w:val="24"/>
              </w:rPr>
              <w:t>判断题</w:t>
            </w:r>
          </w:p>
        </w:tc>
        <w:tc>
          <w:tcPr>
            <w:tcW w:w="2509" w:type="dxa"/>
            <w:vAlign w:val="center"/>
          </w:tcPr>
          <w:p w14:paraId="4C1B29DF">
            <w:pPr>
              <w:spacing w:line="300" w:lineRule="auto"/>
              <w:jc w:val="center"/>
              <w:rPr>
                <w:rFonts w:hint="default" w:ascii="黑体" w:hAnsi="宋体" w:eastAsia="宋体" w:cs="Times New Roman"/>
                <w:sz w:val="24"/>
                <w:szCs w:val="28"/>
                <w:lang w:val="en-US" w:eastAsia="zh-CN"/>
              </w:rPr>
            </w:pPr>
            <w:r>
              <w:rPr>
                <w:rFonts w:hint="eastAsia" w:ascii="黑体" w:cs="Times New Roman"/>
                <w:sz w:val="24"/>
                <w:szCs w:val="28"/>
                <w:lang w:val="en-US" w:eastAsia="zh-CN"/>
              </w:rPr>
              <w:t>10</w:t>
            </w:r>
          </w:p>
        </w:tc>
      </w:tr>
      <w:tr w14:paraId="115D6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20" w:type="dxa"/>
            <w:vMerge w:val="continue"/>
            <w:vAlign w:val="center"/>
          </w:tcPr>
          <w:p w14:paraId="2AB8054A">
            <w:pPr>
              <w:spacing w:line="300" w:lineRule="auto"/>
              <w:jc w:val="center"/>
              <w:rPr>
                <w:rFonts w:hint="eastAsia" w:ascii="黑体" w:hAnsi="宋体" w:eastAsia="宋体" w:cs="Times New Roman"/>
                <w:sz w:val="24"/>
                <w:szCs w:val="28"/>
              </w:rPr>
            </w:pPr>
          </w:p>
        </w:tc>
        <w:tc>
          <w:tcPr>
            <w:tcW w:w="1220" w:type="dxa"/>
            <w:vAlign w:val="center"/>
          </w:tcPr>
          <w:p w14:paraId="7087544D">
            <w:pPr>
              <w:spacing w:line="300" w:lineRule="auto"/>
              <w:jc w:val="center"/>
              <w:rPr>
                <w:rFonts w:hint="eastAsia" w:ascii="黑体" w:hAnsi="宋体" w:eastAsia="宋体" w:cs="Times New Roman"/>
                <w:sz w:val="24"/>
                <w:szCs w:val="28"/>
              </w:rPr>
            </w:pPr>
            <w:r>
              <w:rPr>
                <w:rFonts w:hint="eastAsia" w:ascii="黑体" w:hAnsi="宋体" w:eastAsia="宋体" w:cs="Times New Roman"/>
                <w:sz w:val="24"/>
                <w:szCs w:val="28"/>
              </w:rPr>
              <w:t>四</w:t>
            </w:r>
          </w:p>
        </w:tc>
        <w:tc>
          <w:tcPr>
            <w:tcW w:w="2909" w:type="dxa"/>
            <w:vAlign w:val="center"/>
          </w:tcPr>
          <w:p w14:paraId="3F2B2A24">
            <w:pPr>
              <w:spacing w:line="300" w:lineRule="auto"/>
              <w:jc w:val="center"/>
              <w:rPr>
                <w:rFonts w:hint="default" w:ascii="宋体" w:hAnsi="宋体" w:eastAsia="宋体" w:cs="Times New Roman"/>
                <w:snapToGrid w:val="0"/>
                <w:kern w:val="0"/>
                <w:sz w:val="24"/>
                <w:szCs w:val="24"/>
                <w:lang w:val="en-US" w:eastAsia="zh-CN"/>
              </w:rPr>
            </w:pPr>
            <w:r>
              <w:rPr>
                <w:rFonts w:hint="eastAsia" w:cs="Times New Roman"/>
                <w:snapToGrid w:val="0"/>
                <w:kern w:val="0"/>
                <w:sz w:val="24"/>
                <w:szCs w:val="24"/>
                <w:lang w:val="en-US" w:eastAsia="zh-CN"/>
              </w:rPr>
              <w:t>综合应用</w:t>
            </w:r>
          </w:p>
        </w:tc>
        <w:tc>
          <w:tcPr>
            <w:tcW w:w="2509" w:type="dxa"/>
            <w:vAlign w:val="center"/>
          </w:tcPr>
          <w:p w14:paraId="47E88B86">
            <w:pPr>
              <w:spacing w:line="300" w:lineRule="auto"/>
              <w:jc w:val="center"/>
              <w:rPr>
                <w:rFonts w:hint="default" w:ascii="黑体" w:hAnsi="宋体" w:eastAsia="宋体" w:cs="Times New Roman"/>
                <w:sz w:val="24"/>
                <w:szCs w:val="28"/>
                <w:lang w:val="en-US" w:eastAsia="zh-CN"/>
              </w:rPr>
            </w:pPr>
            <w:r>
              <w:rPr>
                <w:rFonts w:hint="eastAsia" w:ascii="黑体" w:cs="Times New Roman"/>
                <w:sz w:val="24"/>
                <w:szCs w:val="28"/>
                <w:lang w:val="en-US" w:eastAsia="zh-CN"/>
              </w:rPr>
              <w:t>40</w:t>
            </w:r>
          </w:p>
        </w:tc>
      </w:tr>
      <w:tr w14:paraId="0BF5A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220" w:type="dxa"/>
            <w:vMerge w:val="continue"/>
            <w:vAlign w:val="center"/>
          </w:tcPr>
          <w:p w14:paraId="233FCE88">
            <w:pPr>
              <w:spacing w:line="300" w:lineRule="auto"/>
              <w:jc w:val="center"/>
              <w:rPr>
                <w:rFonts w:hint="eastAsia" w:ascii="黑体" w:hAnsi="宋体" w:eastAsia="宋体" w:cs="Times New Roman"/>
                <w:sz w:val="24"/>
                <w:szCs w:val="28"/>
              </w:rPr>
            </w:pPr>
          </w:p>
        </w:tc>
        <w:tc>
          <w:tcPr>
            <w:tcW w:w="4129" w:type="dxa"/>
            <w:gridSpan w:val="2"/>
            <w:vAlign w:val="center"/>
          </w:tcPr>
          <w:p w14:paraId="5EDDDA49">
            <w:pPr>
              <w:spacing w:line="300" w:lineRule="auto"/>
              <w:jc w:val="center"/>
              <w:rPr>
                <w:rFonts w:hint="eastAsia" w:ascii="黑体" w:hAnsi="宋体" w:eastAsia="宋体" w:cs="Times New Roman"/>
                <w:sz w:val="24"/>
                <w:szCs w:val="28"/>
              </w:rPr>
            </w:pPr>
            <w:r>
              <w:rPr>
                <w:rFonts w:hint="eastAsia" w:ascii="黑体" w:hAnsi="宋体" w:eastAsia="宋体" w:cs="Times New Roman"/>
                <w:sz w:val="24"/>
                <w:szCs w:val="28"/>
              </w:rPr>
              <w:t>合计</w:t>
            </w:r>
          </w:p>
        </w:tc>
        <w:tc>
          <w:tcPr>
            <w:tcW w:w="2509" w:type="dxa"/>
            <w:vAlign w:val="center"/>
          </w:tcPr>
          <w:p w14:paraId="78E9BEAE">
            <w:pPr>
              <w:spacing w:line="300" w:lineRule="auto"/>
              <w:jc w:val="center"/>
              <w:rPr>
                <w:rFonts w:hint="default" w:ascii="黑体" w:hAnsi="宋体" w:eastAsia="宋体" w:cs="Times New Roman"/>
                <w:sz w:val="24"/>
                <w:szCs w:val="28"/>
                <w:lang w:val="en-US" w:eastAsia="zh-CN"/>
              </w:rPr>
            </w:pPr>
            <w:r>
              <w:rPr>
                <w:rFonts w:hint="eastAsia" w:ascii="黑体" w:cs="Times New Roman"/>
                <w:sz w:val="24"/>
                <w:szCs w:val="28"/>
                <w:lang w:val="en-US" w:eastAsia="zh-CN"/>
              </w:rPr>
              <w:t>100</w:t>
            </w:r>
          </w:p>
        </w:tc>
      </w:tr>
    </w:tbl>
    <w:p w14:paraId="7CBA908E">
      <w:pPr>
        <w:widowControl w:val="0"/>
        <w:numPr>
          <w:ilvl w:val="0"/>
          <w:numId w:val="0"/>
        </w:numPr>
        <w:spacing w:line="360" w:lineRule="auto"/>
        <w:jc w:val="both"/>
        <w:rPr>
          <w:rFonts w:hint="eastAsia"/>
          <w:bCs/>
          <w:color w:val="auto"/>
          <w:sz w:val="24"/>
          <w:szCs w:val="24"/>
          <w:lang w:val="zh-CN"/>
        </w:rPr>
      </w:pPr>
    </w:p>
    <w:p w14:paraId="683E2870">
      <w:pPr>
        <w:widowControl w:val="0"/>
        <w:numPr>
          <w:ilvl w:val="0"/>
          <w:numId w:val="0"/>
        </w:numPr>
        <w:spacing w:line="360" w:lineRule="auto"/>
        <w:jc w:val="both"/>
        <w:rPr>
          <w:rFonts w:hint="eastAsia"/>
          <w:bCs/>
          <w:color w:val="auto"/>
          <w:sz w:val="24"/>
          <w:szCs w:val="24"/>
          <w:lang w:val="zh-CN"/>
        </w:rPr>
      </w:pPr>
    </w:p>
    <w:p w14:paraId="1E3ACDDD">
      <w:pPr>
        <w:widowControl w:val="0"/>
        <w:numPr>
          <w:ilvl w:val="0"/>
          <w:numId w:val="0"/>
        </w:numPr>
        <w:spacing w:line="360" w:lineRule="auto"/>
        <w:jc w:val="both"/>
        <w:rPr>
          <w:rFonts w:hint="eastAsia"/>
          <w:bCs/>
          <w:color w:val="auto"/>
          <w:sz w:val="24"/>
          <w:szCs w:val="24"/>
          <w:lang w:val="zh-CN"/>
        </w:rPr>
      </w:pPr>
    </w:p>
    <w:p w14:paraId="62C100F9">
      <w:pPr>
        <w:widowControl w:val="0"/>
        <w:numPr>
          <w:ilvl w:val="0"/>
          <w:numId w:val="0"/>
        </w:numPr>
        <w:spacing w:line="360" w:lineRule="auto"/>
        <w:jc w:val="both"/>
        <w:rPr>
          <w:rFonts w:hint="eastAsia"/>
          <w:bCs/>
          <w:color w:val="auto"/>
          <w:sz w:val="24"/>
          <w:szCs w:val="24"/>
          <w:lang w:val="zh-CN"/>
        </w:rPr>
      </w:pPr>
    </w:p>
    <w:p w14:paraId="265B3C62">
      <w:pPr>
        <w:widowControl w:val="0"/>
        <w:numPr>
          <w:ilvl w:val="0"/>
          <w:numId w:val="0"/>
        </w:numPr>
        <w:spacing w:line="360" w:lineRule="auto"/>
        <w:jc w:val="both"/>
        <w:rPr>
          <w:rFonts w:hint="eastAsia"/>
          <w:bCs/>
          <w:color w:val="auto"/>
          <w:sz w:val="24"/>
          <w:szCs w:val="24"/>
          <w:lang w:val="zh-CN"/>
        </w:rPr>
      </w:pPr>
    </w:p>
    <w:p w14:paraId="39D9584A">
      <w:pPr>
        <w:widowControl w:val="0"/>
        <w:numPr>
          <w:ilvl w:val="0"/>
          <w:numId w:val="0"/>
        </w:numPr>
        <w:spacing w:line="360" w:lineRule="auto"/>
        <w:jc w:val="both"/>
        <w:rPr>
          <w:rFonts w:hint="eastAsia"/>
          <w:bCs/>
          <w:color w:val="auto"/>
          <w:sz w:val="24"/>
          <w:szCs w:val="24"/>
          <w:lang w:val="zh-CN"/>
        </w:rPr>
      </w:pPr>
    </w:p>
    <w:p w14:paraId="62192BCC">
      <w:pPr>
        <w:spacing w:line="360" w:lineRule="auto"/>
        <w:rPr>
          <w:rFonts w:hint="eastAsia" w:ascii="黑体" w:eastAsia="黑体"/>
          <w:b/>
          <w:bCs/>
          <w:sz w:val="28"/>
        </w:rPr>
      </w:pPr>
    </w:p>
    <w:p w14:paraId="60120709">
      <w:pPr>
        <w:widowControl/>
        <w:tabs>
          <w:tab w:val="left" w:pos="916"/>
          <w:tab w:val="left" w:pos="1832"/>
          <w:tab w:val="left" w:pos="2748"/>
          <w:tab w:val="left" w:pos="5184"/>
        </w:tabs>
        <w:spacing w:line="360" w:lineRule="auto"/>
        <w:ind w:firstLine="480" w:firstLineChars="200"/>
        <w:jc w:val="left"/>
        <w:rPr>
          <w:rFonts w:ascii="Times New Roman" w:hAnsi="Times New Roman" w:eastAsia="黑体" w:cs="Times New Roman"/>
          <w:kern w:val="0"/>
          <w:sz w:val="24"/>
          <w:szCs w:val="20"/>
        </w:rPr>
      </w:pPr>
      <w:r>
        <w:rPr>
          <w:rFonts w:hint="eastAsia" w:ascii="Times New Roman" w:hAnsi="Times New Roman" w:eastAsia="黑体" w:cs="Times New Roman"/>
          <w:kern w:val="0"/>
          <w:sz w:val="24"/>
          <w:szCs w:val="20"/>
        </w:rPr>
        <w:t>3.课程考核成绩评定</w:t>
      </w:r>
      <w:r>
        <w:rPr>
          <w:rFonts w:ascii="Times New Roman" w:hAnsi="Times New Roman" w:eastAsia="黑体" w:cs="Times New Roman"/>
          <w:kern w:val="0"/>
          <w:sz w:val="24"/>
          <w:szCs w:val="20"/>
        </w:rPr>
        <w:tab/>
      </w:r>
    </w:p>
    <w:p w14:paraId="068EBB10">
      <w:pPr>
        <w:rPr>
          <w:rFonts w:hint="eastAsia" w:ascii="黑体" w:eastAsia="黑体"/>
          <w:b/>
          <w:bCs/>
          <w:sz w:val="28"/>
        </w:rPr>
      </w:pPr>
      <w:r>
        <w:rPr>
          <w:rFonts w:hint="eastAsia" w:ascii="Times New Roman" w:hAnsi="Times New Roman" w:eastAsia="宋体" w:cs="Times New Roman"/>
          <w:sz w:val="24"/>
          <w:szCs w:val="24"/>
        </w:rPr>
        <w:t>考试卷面成绩即为本课程成绩。</w:t>
      </w:r>
    </w:p>
    <w:p w14:paraId="60B83E55">
      <w:pPr>
        <w:spacing w:line="360" w:lineRule="auto"/>
        <w:rPr>
          <w:b/>
          <w:bCs/>
          <w:sz w:val="24"/>
          <w:szCs w:val="24"/>
        </w:rPr>
      </w:pPr>
      <w:r>
        <w:rPr>
          <w:rFonts w:hint="eastAsia" w:ascii="黑体" w:eastAsia="黑体"/>
          <w:b/>
          <w:bCs/>
          <w:sz w:val="28"/>
        </w:rPr>
        <w:t>六、教材及参考书</w:t>
      </w:r>
    </w:p>
    <w:p w14:paraId="0289DB2D">
      <w:pPr>
        <w:spacing w:line="360" w:lineRule="auto"/>
        <w:ind w:firstLine="480" w:firstLineChars="200"/>
        <w:rPr>
          <w:rFonts w:cs="宋体"/>
          <w:sz w:val="24"/>
          <w:szCs w:val="24"/>
        </w:rPr>
      </w:pPr>
      <w:r>
        <w:rPr>
          <w:rFonts w:hint="eastAsia"/>
          <w:sz w:val="24"/>
          <w:szCs w:val="24"/>
        </w:rPr>
        <w:t>1.</w:t>
      </w:r>
      <w:r>
        <w:rPr>
          <w:rFonts w:hint="eastAsia" w:cs="宋体"/>
          <w:kern w:val="0"/>
          <w:sz w:val="24"/>
          <w:szCs w:val="24"/>
          <w:lang w:bidi="ar"/>
        </w:rPr>
        <w:t>任达敏编著，《基本乐理》，北京：人民音乐出版社，2006.05</w:t>
      </w:r>
    </w:p>
    <w:p w14:paraId="7FC70896">
      <w:pPr>
        <w:spacing w:line="360" w:lineRule="auto"/>
        <w:ind w:firstLine="480" w:firstLineChars="200"/>
      </w:pPr>
      <w:r>
        <w:rPr>
          <w:rFonts w:hint="eastAsia"/>
          <w:sz w:val="24"/>
          <w:szCs w:val="24"/>
        </w:rPr>
        <w:t>2.晏成佺主编，《基本乐理教程》，北京：人民音乐出版社，2017.02</w:t>
      </w:r>
      <w:r>
        <w:rPr>
          <w:rFonts w:hint="eastAsia"/>
          <w:color w:val="auto"/>
          <w:sz w:val="24"/>
          <w:szCs w:val="24"/>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985"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8350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CC5A0">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E8ED7">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8D9DC">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0809E">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3B0ED">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689951C7"/>
    <w:rsid w:val="00450021"/>
    <w:rsid w:val="007C17DD"/>
    <w:rsid w:val="00E05CB5"/>
    <w:rsid w:val="090F2C71"/>
    <w:rsid w:val="0ADA341F"/>
    <w:rsid w:val="0BD147FF"/>
    <w:rsid w:val="11F1211A"/>
    <w:rsid w:val="445F7F16"/>
    <w:rsid w:val="49E8275C"/>
    <w:rsid w:val="52C75604"/>
    <w:rsid w:val="54E87AB4"/>
    <w:rsid w:val="689951C7"/>
    <w:rsid w:val="6FAE0C1C"/>
    <w:rsid w:val="771F7215"/>
    <w:rsid w:val="7E8C6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Times New Roman"/>
      <w:color w:val="000000"/>
      <w:kern w:val="2"/>
      <w:sz w:val="21"/>
      <w:szCs w:val="18"/>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4">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styleId="7">
    <w:name w:val="Hyperlink"/>
    <w:autoRedefine/>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2012dnd.com</Company>
  <Pages>3</Pages>
  <Words>1715</Words>
  <Characters>1752</Characters>
  <Lines>12</Lines>
  <Paragraphs>3</Paragraphs>
  <TotalTime>1281</TotalTime>
  <ScaleCrop>false</ScaleCrop>
  <LinksUpToDate>false</LinksUpToDate>
  <CharactersWithSpaces>1794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2022-12-19T04:06:00Z</dcterms:created>
  <dc:creator>3331</dc:creator>
  <cp:lastModifiedBy>黄彦熙子</cp:lastModifiedBy>
  <dcterms:modified xsi:type="dcterms:W3CDTF">2025-01-12T11:25:38Z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0B61C3EEB3F04EF891C8DCB3A571A148</vt:lpwstr>
  </property>
  <property fmtid="{D5CDD505-2E9C-101B-9397-08002B2CF9AE}" pid="4" name="KSOTemplateDocerSaveRecord">
    <vt:lpwstr>eyJoZGlkIjoiN2YzNjBkOTgyNWQ1YTMxYzM3MzMwNWFiODNmOWIzYWMiLCJ1c2VySWQiOiIyMzk5OTk0MjAifQ==</vt:lpwstr>
  </property>
</Properties>
</file>